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黑体" w:hAnsi="黑体" w:eastAsia="黑体"/>
          <w:sz w:val="38"/>
          <w:szCs w:val="38"/>
        </w:rPr>
      </w:pPr>
      <w:r>
        <w:rPr>
          <w:rFonts w:hint="eastAsia" w:ascii="黑体" w:hAnsi="黑体" w:eastAsia="黑体"/>
          <w:sz w:val="38"/>
          <w:szCs w:val="38"/>
        </w:rPr>
        <w:t>建设项目环境影响评价公众意见表</w:t>
      </w:r>
    </w:p>
    <w:p>
      <w:pPr>
        <w:adjustRightInd w:val="0"/>
        <w:snapToGrid w:val="0"/>
        <w:spacing w:line="408" w:lineRule="auto"/>
        <w:rPr>
          <w:rFonts w:ascii="黑体" w:hAnsi="黑体" w:eastAsia="黑体"/>
          <w:szCs w:val="32"/>
        </w:rPr>
      </w:pPr>
      <w:bookmarkStart w:id="0" w:name="_GoBack"/>
      <w:bookmarkEnd w:id="0"/>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bCs/>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bCs/>
                <w:sz w:val="21"/>
                <w:szCs w:val="21"/>
                <w:lang w:eastAsia="zh-CN"/>
              </w:rPr>
            </w:pPr>
            <w:r>
              <w:rPr>
                <w:rFonts w:hint="eastAsia" w:ascii="宋体" w:hAnsi="宋体" w:eastAsia="宋体" w:cs="Times New Roman"/>
                <w:bCs/>
                <w:sz w:val="21"/>
                <w:szCs w:val="21"/>
                <w:lang w:eastAsia="zh-CN"/>
              </w:rPr>
              <w:t>龙蟒佰利联集团股份有限公司年产30万吨硫氯耦合钛材料绿色制造项目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252" w:hRule="atLeast"/>
        </w:trPr>
        <w:tc>
          <w:tcPr>
            <w:tcW w:w="1771" w:type="dxa"/>
            <w:vAlign w:val="center"/>
          </w:tcPr>
          <w:p>
            <w:pPr>
              <w:adjustRightInd w:val="0"/>
              <w:snapToGrid w:val="0"/>
              <w:rPr>
                <w:rFonts w:ascii="宋体" w:hAnsi="宋体" w:eastAsia="宋体"/>
                <w:sz w:val="21"/>
                <w:szCs w:val="21"/>
              </w:rPr>
            </w:pPr>
            <w:r>
              <w:rPr>
                <w:rFonts w:ascii="宋体" w:hAnsi="宋体" w:eastAsia="宋体"/>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hint="eastAsia" w:ascii="宋体" w:hAnsi="宋体" w:eastAsia="宋体"/>
                <w:sz w:val="21"/>
                <w:szCs w:val="21"/>
                <w:u w:val="single"/>
              </w:rPr>
              <w:t xml:space="preserve">      省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spacing w:line="360" w:lineRule="exact"/>
              <w:jc w:val="center"/>
              <w:rPr>
                <w:rFonts w:ascii="宋体" w:hAnsi="宋体" w:eastAsia="宋体"/>
                <w:b/>
                <w:bCs/>
                <w:sz w:val="21"/>
                <w:szCs w:val="21"/>
              </w:rPr>
            </w:pPr>
            <w:r>
              <w:rPr>
                <w:rFonts w:hint="eastAsia" w:ascii="宋体" w:hAnsi="宋体" w:eastAsia="宋体"/>
                <w:sz w:val="21"/>
                <w:szCs w:val="21"/>
                <w:u w:val="single"/>
              </w:rPr>
              <w:t xml:space="preserve">      省      市      县（区、市）      乡（镇、街道）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222A73"/>
    <w:rsid w:val="00291A61"/>
    <w:rsid w:val="00411B2C"/>
    <w:rsid w:val="004B5328"/>
    <w:rsid w:val="005B2E82"/>
    <w:rsid w:val="006D2322"/>
    <w:rsid w:val="009D2BD9"/>
    <w:rsid w:val="00A47CFC"/>
    <w:rsid w:val="00C16801"/>
    <w:rsid w:val="00E77B08"/>
    <w:rsid w:val="13227214"/>
    <w:rsid w:val="30327005"/>
    <w:rsid w:val="44EB321A"/>
    <w:rsid w:val="609E5F50"/>
    <w:rsid w:val="6D535020"/>
    <w:rsid w:val="73091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lock Text"/>
    <w:basedOn w:val="1"/>
    <w:qFormat/>
    <w:uiPriority w:val="0"/>
    <w:pPr>
      <w:adjustRightInd/>
      <w:spacing w:line="240" w:lineRule="auto"/>
      <w:ind w:left="-28" w:right="-23" w:firstLine="568"/>
      <w:textAlignment w:val="auto"/>
    </w:pPr>
    <w:rPr>
      <w:rFonts w:ascii="楷体_GB2312" w:eastAsia="楷体_GB2312"/>
      <w:kern w:val="2"/>
      <w:sz w:val="30"/>
      <w:szCs w:val="20"/>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仿宋_GB2312"/>
      <w:kern w:val="2"/>
      <w:sz w:val="18"/>
      <w:szCs w:val="18"/>
    </w:rPr>
  </w:style>
  <w:style w:type="character" w:customStyle="1" w:styleId="8">
    <w:name w:val="页脚 Char"/>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